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51" w:rsidRDefault="00A17051" w:rsidP="00A17051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Пролетна песма, Десанка максимовић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051" w:rsidRPr="00A17051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овој песми лирски субјект доводи у везу своја интимна осећања са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буђењем природе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Пролеће је свуд око ње и у њој и то је  </w:t>
      </w:r>
      <w:r w:rsidRPr="00A1705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уводни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мотив песме.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Пролеће се у песми директно доводи у везу са  мотивом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срца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Срце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главни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мотив и симболично означава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љубав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песми се успоставља поступно сагласје (хармонија) измеђ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природе и осећања лирског субјекта</w:t>
      </w:r>
      <w:r w:rsidR="00F24B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песми се преплићу конкретни (описни) и апстрактни мотиви. </w:t>
      </w:r>
    </w:p>
    <w:p w:rsidR="00A17051" w:rsidRPr="005C64C0" w:rsidRDefault="00A17051" w:rsidP="005C64C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Описни мотиви су: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ласт</w:t>
      </w:r>
      <w:r w:rsidR="00F24B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е, рани пупољци, младо биље... Т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 је слика природе у пролеће.</w:t>
      </w:r>
    </w:p>
    <w:p w:rsidR="00A17051" w:rsidRPr="005C64C0" w:rsidRDefault="00A17051" w:rsidP="005C64C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Апстрактни мотиви су: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срце, небо, срећа, пакао бола, живот, лепота, чежња, нада, шала, љубав, плима неизречених речи. То је слика емотивног стања лирског субјекта. 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Основно осећа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ње у песми је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љубав </w:t>
      </w:r>
      <w:r>
        <w:rPr>
          <w:rFonts w:ascii="Times New Roman" w:hAnsi="Times New Roman" w:cs="Times New Roman"/>
          <w:sz w:val="24"/>
          <w:szCs w:val="24"/>
          <w:lang w:val="sr-Cyrl-RS"/>
        </w:rPr>
        <w:t>, па с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е песма сврстава у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љубавне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песме, са елементима описне лирике. 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је испев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ана у пет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катрена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Сви стихови су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симетрични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дванаестерци (6+6) – АЛЕКСАНДРИНЦИ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, осим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стиха сваке строфе. То је полусти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х испеван у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шестерцу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наставак мисли из из првог стиха и предста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вља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опкорачење.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Препознај стилске фигуре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О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ећам вечера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док по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матрам ла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с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те             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алитерација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ласте                                            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симбол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срце расте, чезне                        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персонификација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ко видик у л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насм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асонанца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д) ко видик                                      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поређење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ђ)цело небо ... не би доста било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хипербола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е) срећа – бол                                  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контраст</w:t>
      </w:r>
    </w:p>
    <w:p w:rsidR="00A17051" w:rsidRPr="005C64C0" w:rsidRDefault="00A17051" w:rsidP="00A1705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ж) како </w:t>
      </w:r>
      <w:r w:rsidRPr="00897BD5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срце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моје полагано расте                        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метафора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2A09" wp14:editId="13A85498">
                <wp:simplePos x="0" y="0"/>
                <wp:positionH relativeFrom="column">
                  <wp:posOffset>3040380</wp:posOffset>
                </wp:positionH>
                <wp:positionV relativeFrom="paragraph">
                  <wp:posOffset>12065</wp:posOffset>
                </wp:positionV>
                <wp:extent cx="133350" cy="723900"/>
                <wp:effectExtent l="0" t="0" r="1905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239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5D7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39.4pt;margin-top:.95pt;width:10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" adj="332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r-Cyrl-RS"/>
        </w:rPr>
        <w:t>з)  а) буђење природе – рађање љубави</w:t>
      </w:r>
    </w:p>
    <w:p w:rsidR="00A17051" w:rsidRPr="005C64C0" w:rsidRDefault="00A17051" w:rsidP="00A17051">
      <w:pPr>
        <w:pStyle w:val="Bezrazmaka"/>
        <w:tabs>
          <w:tab w:val="left" w:pos="5415"/>
        </w:tabs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б) буђење природе – распламсавање 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>љубави</w:t>
      </w:r>
      <w:r w:rsidR="005C64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64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градација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в) велика неостварена љубав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г) неизрецива љубав упућена свима 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Кроз песничке слике уочава се да је читава песма </w:t>
      </w:r>
      <w:r w:rsidRPr="00863506">
        <w:rPr>
          <w:rFonts w:ascii="Times New Roman" w:hAnsi="Times New Roman" w:cs="Times New Roman"/>
          <w:sz w:val="24"/>
          <w:szCs w:val="24"/>
          <w:u w:val="single"/>
          <w:lang w:val="sr-Cyrl-RS"/>
        </w:rPr>
        <w:t>АЛЕГОРИЈА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једне велике нежне, али неостварене љубави. </w:t>
      </w:r>
    </w:p>
    <w:p w:rsidR="00A17051" w:rsidRDefault="00A17051" w:rsidP="00A1705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лирски субјект истиче у поенти песме? </w:t>
      </w:r>
    </w:p>
    <w:p w:rsidR="0030286D" w:rsidRPr="00F24BF2" w:rsidRDefault="00F24BF2" w:rsidP="00F24BF2">
      <w:pPr>
        <w:pStyle w:val="Bezrazmaka"/>
        <w:rPr>
          <w:rFonts w:ascii="Times New Roman" w:hAnsi="Times New Roman" w:cs="Times New Roman"/>
          <w:color w:val="FF0000"/>
          <w:lang w:val="sr-Cyrl-RS"/>
        </w:rPr>
      </w:pPr>
      <w:r w:rsidRPr="00F24BF2">
        <w:rPr>
          <w:rFonts w:ascii="Times New Roman" w:hAnsi="Times New Roman" w:cs="Times New Roman"/>
          <w:color w:val="FF0000"/>
          <w:lang w:val="sr-Cyrl-RS"/>
        </w:rPr>
        <w:t xml:space="preserve">Да би срце( </w:t>
      </w:r>
      <w:r>
        <w:rPr>
          <w:rFonts w:ascii="Times New Roman" w:hAnsi="Times New Roman" w:cs="Times New Roman"/>
          <w:color w:val="FF0000"/>
          <w:lang w:val="sr-Cyrl-RS"/>
        </w:rPr>
        <w:t xml:space="preserve">љубав) могла поклањати свима и да ће га (је) опет много остати у њој. </w:t>
      </w:r>
    </w:p>
    <w:sectPr w:rsidR="0030286D" w:rsidRPr="00F24BF2" w:rsidSect="00716199">
      <w:pgSz w:w="12240" w:h="15840"/>
      <w:pgMar w:top="1440" w:right="9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F4"/>
    <w:rsid w:val="003017F4"/>
    <w:rsid w:val="0030286D"/>
    <w:rsid w:val="005C64C0"/>
    <w:rsid w:val="008E667B"/>
    <w:rsid w:val="00A17051"/>
    <w:rsid w:val="00F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FB7B2-5B56-459B-9900-5C92DEC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A17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2020-05-12T05:51:00Z</dcterms:created>
  <dcterms:modified xsi:type="dcterms:W3CDTF">2020-05-12T05:51:00Z</dcterms:modified>
</cp:coreProperties>
</file>